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1169B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marzec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381D6D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1169B2">
        <w:rPr>
          <w:rFonts w:ascii="Arial" w:hAnsi="Arial" w:cs="Arial"/>
          <w:color w:val="262626" w:themeColor="text1" w:themeTint="D9"/>
          <w:sz w:val="20"/>
        </w:rPr>
        <w:t>marcu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A9105A">
        <w:rPr>
          <w:rFonts w:ascii="Arial" w:hAnsi="Arial" w:cs="Arial"/>
          <w:color w:val="262626" w:themeColor="text1" w:themeTint="D9"/>
          <w:sz w:val="20"/>
        </w:rPr>
        <w:t>8</w:t>
      </w:r>
      <w:r w:rsidR="00B008FE">
        <w:rPr>
          <w:rFonts w:ascii="Arial" w:hAnsi="Arial" w:cs="Arial"/>
          <w:color w:val="262626" w:themeColor="text1" w:themeTint="D9"/>
          <w:sz w:val="20"/>
        </w:rPr>
        <w:t>,</w:t>
      </w:r>
      <w:r w:rsidR="00725B96">
        <w:rPr>
          <w:rFonts w:ascii="Arial" w:hAnsi="Arial" w:cs="Arial"/>
          <w:color w:val="262626" w:themeColor="text1" w:themeTint="D9"/>
          <w:sz w:val="20"/>
        </w:rPr>
        <w:t>5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B0517C">
        <w:rPr>
          <w:rFonts w:ascii="Arial" w:hAnsi="Arial" w:cs="Arial"/>
          <w:color w:val="262626" w:themeColor="text1" w:themeTint="D9"/>
          <w:sz w:val="20"/>
        </w:rPr>
        <w:t>3</w:t>
      </w:r>
      <w:r w:rsidR="00B008FE">
        <w:rPr>
          <w:rFonts w:ascii="Arial" w:hAnsi="Arial" w:cs="Arial"/>
          <w:color w:val="262626" w:themeColor="text1" w:themeTint="D9"/>
          <w:sz w:val="20"/>
        </w:rPr>
        <w:t>,</w:t>
      </w:r>
      <w:r w:rsidR="00725B96">
        <w:rPr>
          <w:rFonts w:ascii="Arial" w:hAnsi="Arial" w:cs="Arial"/>
          <w:color w:val="262626" w:themeColor="text1" w:themeTint="D9"/>
          <w:sz w:val="20"/>
        </w:rPr>
        <w:t>1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B008FE">
        <w:rPr>
          <w:rFonts w:ascii="Arial" w:hAnsi="Arial" w:cs="Arial"/>
          <w:color w:val="262626" w:themeColor="text1" w:themeTint="D9"/>
          <w:sz w:val="20"/>
        </w:rPr>
        <w:t>4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4D4581">
        <w:rPr>
          <w:rFonts w:ascii="Arial" w:hAnsi="Arial" w:cs="Arial"/>
          <w:color w:val="262626" w:themeColor="text1" w:themeTint="D9"/>
          <w:sz w:val="20"/>
        </w:rPr>
        <w:t>4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4D4581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845560"/>
            <wp:effectExtent l="0" t="0" r="952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3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D4581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845560"/>
            <wp:effectExtent l="0" t="0" r="9525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.3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D4581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63975"/>
            <wp:effectExtent l="0" t="0" r="9525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.3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D4581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44290"/>
            <wp:effectExtent l="0" t="0" r="9525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.3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4D4581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836035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.3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4D4581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827780"/>
            <wp:effectExtent l="0" t="0" r="9525" b="127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.3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4D4581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938188" cy="5121084"/>
            <wp:effectExtent l="0" t="0" r="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.3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4D4581" w:rsidRPr="004D4581">
        <w:rPr>
          <w:rFonts w:ascii="Arial" w:hAnsi="Arial" w:cs="Arial"/>
          <w:color w:val="666666"/>
          <w:sz w:val="16"/>
          <w:szCs w:val="16"/>
        </w:rPr>
        <w:t>170619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B008FE" w:rsidRPr="00B008FE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B008FE" w:rsidRPr="00B008FE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 z III kwartału 2018r. i badania Maluchy z 2018r.</w:t>
      </w:r>
      <w:bookmarkStart w:id="48" w:name="_GoBack"/>
      <w:bookmarkEnd w:id="48"/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>Sandra Steinmetz</w:t>
      </w:r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+48 696 158 430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B0517C" w:rsidRPr="00B0517C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sandra.steinmetz@mondaypr.pl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2F" w:rsidRDefault="00A3432F">
      <w:r>
        <w:separator/>
      </w:r>
    </w:p>
  </w:endnote>
  <w:endnote w:type="continuationSeparator" w:id="0">
    <w:p w:rsidR="00A3432F" w:rsidRDefault="00A3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2F" w:rsidRDefault="00A3432F">
      <w:r>
        <w:separator/>
      </w:r>
    </w:p>
  </w:footnote>
  <w:footnote w:type="continuationSeparator" w:id="0">
    <w:p w:rsidR="00A3432F" w:rsidRDefault="00A3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1EB1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35D73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40D1-0CB9-449F-AE21-BCB049D8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2491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3</cp:revision>
  <cp:lastPrinted>2014-01-27T09:33:00Z</cp:lastPrinted>
  <dcterms:created xsi:type="dcterms:W3CDTF">2019-03-08T09:06:00Z</dcterms:created>
  <dcterms:modified xsi:type="dcterms:W3CDTF">2019-04-11T08:50:00Z</dcterms:modified>
</cp:coreProperties>
</file>